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BB67FB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FB" w:rsidRPr="0094335B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ОСВІТИ І НАУКИ УКРАЇНИ</w:t>
            </w:r>
          </w:p>
        </w:tc>
      </w:tr>
      <w:tr w:rsidR="00BB67FB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BB67FB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16.01.2020 № 54</w:t>
            </w:r>
          </w:p>
        </w:tc>
      </w:tr>
    </w:tbl>
    <w:p w:rsidR="00BB67FB" w:rsidRDefault="00BB67FB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813"/>
        <w:gridCol w:w="3876"/>
      </w:tblGrid>
      <w:tr w:rsidR="00BB67FB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7FB" w:rsidRDefault="00BB67FB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10 лютого 2020 р.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154/34437</w:t>
            </w:r>
          </w:p>
        </w:tc>
      </w:tr>
    </w:tbl>
    <w:p w:rsidR="00BB67FB" w:rsidRDefault="0094335B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4"/>
      <w:bookmarkEnd w:id="2"/>
      <w:r>
        <w:rPr>
          <w:rStyle w:val="spanrvts23"/>
          <w:lang w:val="uk" w:eastAsia="uk"/>
        </w:rPr>
        <w:t>Про затвердження Порядку проведення моніторингу якості освіти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" w:name="n5"/>
      <w:bookmarkEnd w:id="3"/>
      <w:r>
        <w:rPr>
          <w:lang w:val="uk" w:eastAsia="uk"/>
        </w:rPr>
        <w:t xml:space="preserve">Відповідно до </w:t>
      </w:r>
      <w:hyperlink r:id="rId7" w:anchor="n707" w:tgtFrame="_blank" w:history="1">
        <w:r>
          <w:rPr>
            <w:rStyle w:val="arvts96"/>
            <w:lang w:val="uk" w:eastAsia="uk"/>
          </w:rPr>
          <w:t>частини третьої</w:t>
        </w:r>
      </w:hyperlink>
      <w:r>
        <w:rPr>
          <w:lang w:val="uk" w:eastAsia="uk"/>
        </w:rPr>
        <w:t xml:space="preserve"> статті 48 Закону України «Про освіту», </w:t>
      </w:r>
      <w:hyperlink r:id="rId8" w:anchor="n58" w:tgtFrame="_blank" w:history="1">
        <w:r>
          <w:rPr>
            <w:rStyle w:val="arvts96"/>
            <w:lang w:val="uk" w:eastAsia="uk"/>
          </w:rPr>
          <w:t>підпункту 43</w:t>
        </w:r>
      </w:hyperlink>
      <w:r>
        <w:rPr>
          <w:lang w:val="uk" w:eastAsia="uk"/>
        </w:rPr>
        <w:t xml:space="preserve"> пункту 4 Положення </w:t>
      </w:r>
      <w:r>
        <w:rPr>
          <w:lang w:val="uk" w:eastAsia="uk"/>
        </w:rPr>
        <w:t xml:space="preserve">про Міністерство освіти і науки України, затвердженого постановою Кабінету Міністрів України від 16 жовтня 2014 року № 630, </w:t>
      </w:r>
      <w:r>
        <w:rPr>
          <w:rStyle w:val="spanrvts52"/>
          <w:lang w:val="uk" w:eastAsia="uk"/>
        </w:rPr>
        <w:t>НАКАЗУЮ: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" w:name="n6"/>
      <w:bookmarkEnd w:id="4"/>
      <w:r>
        <w:rPr>
          <w:lang w:val="uk" w:eastAsia="uk"/>
        </w:rPr>
        <w:t xml:space="preserve">1. Затвердити </w:t>
      </w:r>
      <w:hyperlink w:anchor="n14" w:history="1">
        <w:r>
          <w:rPr>
            <w:rStyle w:val="arvts99"/>
            <w:lang w:val="uk" w:eastAsia="uk"/>
          </w:rPr>
          <w:t>Порядок проведення моніторингу якості освіти</w:t>
        </w:r>
      </w:hyperlink>
      <w:r>
        <w:rPr>
          <w:lang w:val="uk" w:eastAsia="uk"/>
        </w:rPr>
        <w:t>, що додається.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" w:name="n7"/>
      <w:bookmarkEnd w:id="5"/>
      <w:r>
        <w:rPr>
          <w:lang w:val="uk" w:eastAsia="uk"/>
        </w:rPr>
        <w:t xml:space="preserve">2. Директорату дошкільної </w:t>
      </w:r>
      <w:r>
        <w:rPr>
          <w:lang w:val="uk" w:eastAsia="uk"/>
        </w:rPr>
        <w:t>та шкільної освіти (</w:t>
      </w:r>
      <w:proofErr w:type="spellStart"/>
      <w:r>
        <w:rPr>
          <w:lang w:val="uk" w:eastAsia="uk"/>
        </w:rPr>
        <w:t>Осмоловський</w:t>
      </w:r>
      <w:proofErr w:type="spellEnd"/>
      <w:r>
        <w:rPr>
          <w:lang w:val="uk" w:eastAsia="uk"/>
        </w:rPr>
        <w:t xml:space="preserve"> А.О.) забезпечити в установленому порядку подання цього наказу на державну реєстрацію до Міністерства юстиції України.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" w:name="n8"/>
      <w:bookmarkEnd w:id="6"/>
      <w:r>
        <w:rPr>
          <w:lang w:val="uk" w:eastAsia="uk"/>
        </w:rPr>
        <w:t>3. Цей наказ набирає чинності з дня його офіційного опублікування.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" w:name="n9"/>
      <w:bookmarkEnd w:id="7"/>
      <w:r>
        <w:rPr>
          <w:lang w:val="uk" w:eastAsia="uk"/>
        </w:rPr>
        <w:t>4. Контроль за виконанням цього наказ</w:t>
      </w:r>
      <w:r>
        <w:rPr>
          <w:lang w:val="uk" w:eastAsia="uk"/>
        </w:rPr>
        <w:t xml:space="preserve">у покласти на заступника Міністра </w:t>
      </w:r>
      <w:proofErr w:type="spellStart"/>
      <w:r>
        <w:rPr>
          <w:lang w:val="uk" w:eastAsia="uk"/>
        </w:rPr>
        <w:t>Мандзій</w:t>
      </w:r>
      <w:proofErr w:type="spellEnd"/>
      <w:r>
        <w:rPr>
          <w:lang w:val="uk" w:eastAsia="uk"/>
        </w:rPr>
        <w:t xml:space="preserve"> Л.С.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69"/>
        <w:gridCol w:w="5620"/>
      </w:tblGrid>
      <w:tr w:rsidR="00BB67FB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4"/>
              <w:spacing w:before="300" w:after="150"/>
              <w:rPr>
                <w:lang w:val="uk" w:eastAsia="uk"/>
              </w:rPr>
            </w:pPr>
            <w:bookmarkStart w:id="8" w:name="n10"/>
            <w:bookmarkEnd w:id="8"/>
            <w:r>
              <w:rPr>
                <w:rStyle w:val="spanrvts44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 xml:space="preserve">Г. </w:t>
            </w:r>
            <w:proofErr w:type="spellStart"/>
            <w:r>
              <w:rPr>
                <w:rStyle w:val="spanrvts44"/>
                <w:lang w:val="uk" w:eastAsia="uk"/>
              </w:rPr>
              <w:t>Новосад</w:t>
            </w:r>
            <w:proofErr w:type="spellEnd"/>
          </w:p>
        </w:tc>
      </w:tr>
    </w:tbl>
    <w:p w:rsidR="00BB67FB" w:rsidRDefault="00BB67FB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813"/>
        <w:gridCol w:w="3876"/>
      </w:tblGrid>
      <w:tr w:rsidR="00BB67FB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4"/>
              <w:spacing w:before="150" w:after="150"/>
              <w:rPr>
                <w:lang w:val="uk" w:eastAsia="uk"/>
              </w:rPr>
            </w:pPr>
            <w:bookmarkStart w:id="9" w:name="n11"/>
            <w:bookmarkEnd w:id="9"/>
            <w:r>
              <w:rPr>
                <w:lang w:val="uk" w:eastAsia="uk"/>
              </w:rPr>
              <w:t xml:space="preserve">ПОГОДЖЕНО: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  <w:t xml:space="preserve">Голова Державної служби якості освіти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Т.в.о</w:t>
            </w:r>
            <w:proofErr w:type="spellEnd"/>
            <w:r>
              <w:rPr>
                <w:lang w:val="uk" w:eastAsia="uk"/>
              </w:rPr>
              <w:t xml:space="preserve">. Голови </w:t>
            </w:r>
            <w:r>
              <w:rPr>
                <w:lang w:val="uk" w:eastAsia="uk"/>
              </w:rPr>
              <w:br/>
              <w:t>Державної регуляторної служби України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1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  <w:t xml:space="preserve">Р. </w:t>
            </w:r>
            <w:proofErr w:type="spellStart"/>
            <w:r>
              <w:rPr>
                <w:lang w:val="uk" w:eastAsia="uk"/>
              </w:rPr>
              <w:t>Гурак</w:t>
            </w:r>
            <w:proofErr w:type="spellEnd"/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  <w:t xml:space="preserve">О. </w:t>
            </w:r>
            <w:proofErr w:type="spellStart"/>
            <w:r>
              <w:rPr>
                <w:lang w:val="uk" w:eastAsia="uk"/>
              </w:rPr>
              <w:t>Мірошніченко</w:t>
            </w:r>
            <w:proofErr w:type="spellEnd"/>
          </w:p>
        </w:tc>
      </w:tr>
    </w:tbl>
    <w:p w:rsidR="00BB67FB" w:rsidRDefault="0094335B">
      <w:pPr>
        <w:pStyle w:val="break"/>
        <w:spacing w:after="150"/>
        <w:jc w:val="both"/>
        <w:rPr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0" w:name="n161"/>
      <w:bookmarkEnd w:id="1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813"/>
        <w:gridCol w:w="3876"/>
      </w:tblGrid>
      <w:tr w:rsidR="00BB67FB" w:rsidRPr="0094335B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7FB" w:rsidRDefault="00BB67FB">
            <w:pPr>
              <w:pStyle w:val="rvps14"/>
              <w:spacing w:before="150" w:after="150"/>
              <w:rPr>
                <w:lang w:val="uk" w:eastAsia="uk"/>
              </w:rPr>
            </w:pPr>
            <w:bookmarkStart w:id="11" w:name="n12"/>
            <w:bookmarkEnd w:id="1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Наказ Міністерства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освіти </w:t>
            </w:r>
            <w:r>
              <w:rPr>
                <w:rStyle w:val="spanrvts9"/>
                <w:lang w:val="uk" w:eastAsia="uk"/>
              </w:rPr>
              <w:t>і науки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16 січня 2020 року № 54</w:t>
            </w:r>
          </w:p>
        </w:tc>
      </w:tr>
    </w:tbl>
    <w:p w:rsidR="00BB67FB" w:rsidRPr="0094335B" w:rsidRDefault="00BB67FB">
      <w:pPr>
        <w:rPr>
          <w:vanish/>
          <w:lang w:val="ru-RU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813"/>
        <w:gridCol w:w="3876"/>
      </w:tblGrid>
      <w:tr w:rsidR="00BB67FB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7FB" w:rsidRDefault="00BB67FB">
            <w:pPr>
              <w:pStyle w:val="rvps14"/>
              <w:spacing w:before="150" w:after="150"/>
              <w:rPr>
                <w:lang w:val="uk" w:eastAsia="uk"/>
              </w:rPr>
            </w:pPr>
            <w:bookmarkStart w:id="12" w:name="n13"/>
            <w:bookmarkEnd w:id="1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10 лютого 2020 р.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154/34437</w:t>
            </w:r>
          </w:p>
        </w:tc>
      </w:tr>
    </w:tbl>
    <w:p w:rsidR="00BB67FB" w:rsidRDefault="0094335B">
      <w:pPr>
        <w:pStyle w:val="rvps6"/>
        <w:spacing w:before="300" w:after="450"/>
        <w:ind w:left="450" w:right="450"/>
        <w:rPr>
          <w:lang w:val="uk" w:eastAsia="uk"/>
        </w:rPr>
      </w:pPr>
      <w:bookmarkStart w:id="13" w:name="n14"/>
      <w:bookmarkEnd w:id="13"/>
      <w:r>
        <w:rPr>
          <w:rStyle w:val="spanrvts23"/>
          <w:lang w:val="uk" w:eastAsia="uk"/>
        </w:rPr>
        <w:t xml:space="preserve">ПОРЯДОК </w:t>
      </w:r>
      <w:r>
        <w:rPr>
          <w:rStyle w:val="spanrvts23"/>
          <w:lang w:val="uk" w:eastAsia="uk"/>
        </w:rPr>
        <w:br/>
        <w:t>проведення моніторингу якості освіти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14" w:name="n15"/>
      <w:bookmarkEnd w:id="14"/>
      <w:r>
        <w:rPr>
          <w:rStyle w:val="spanrvts15"/>
          <w:lang w:val="uk" w:eastAsia="uk"/>
        </w:rPr>
        <w:t>I. Загальні положення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" w:name="n16"/>
      <w:bookmarkEnd w:id="15"/>
      <w:r>
        <w:rPr>
          <w:lang w:val="uk" w:eastAsia="uk"/>
        </w:rPr>
        <w:t xml:space="preserve">1. Цей Порядок визначає механізм підготовки та проведення </w:t>
      </w:r>
      <w:r>
        <w:rPr>
          <w:lang w:val="uk" w:eastAsia="uk"/>
        </w:rPr>
        <w:t xml:space="preserve">моніторингу якості освіти та освітньої діяльності (далі - моніторинг) у закладах дошкільної, загальної середньої, позашкільної освіти незалежно від їх підпорядкування, типу й форми власності, інших суб’єктах освітньої діяльності, які забезпечують здобуття </w:t>
      </w:r>
      <w:r>
        <w:rPr>
          <w:lang w:val="uk" w:eastAsia="uk"/>
        </w:rPr>
        <w:t>дошкільної, загальної середньої, позашкільної освіти (далі - заклади освіти).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6" w:name="n17"/>
      <w:bookmarkEnd w:id="16"/>
      <w:r>
        <w:rPr>
          <w:lang w:val="uk" w:eastAsia="uk"/>
        </w:rPr>
        <w:t xml:space="preserve">2. Моніторинг проводиться відповідно до Законів України </w:t>
      </w:r>
      <w:hyperlink r:id="rId9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lang w:val="uk" w:eastAsia="uk"/>
        </w:rPr>
        <w:t xml:space="preserve">, </w:t>
      </w:r>
      <w:hyperlink r:id="rId10" w:tgtFrame="_blank" w:history="1">
        <w:r>
          <w:rPr>
            <w:rStyle w:val="arvts96"/>
            <w:lang w:val="uk" w:eastAsia="uk"/>
          </w:rPr>
          <w:t>«Про дошкільну освіту»</w:t>
        </w:r>
      </w:hyperlink>
      <w:r>
        <w:rPr>
          <w:lang w:val="uk" w:eastAsia="uk"/>
        </w:rPr>
        <w:t xml:space="preserve">, </w:t>
      </w:r>
      <w:hyperlink r:id="rId11" w:tgtFrame="_blank" w:history="1">
        <w:r>
          <w:rPr>
            <w:rStyle w:val="arvts96"/>
            <w:lang w:val="uk" w:eastAsia="uk"/>
          </w:rPr>
          <w:t>«Про загальну середню освіту»</w:t>
        </w:r>
      </w:hyperlink>
      <w:r>
        <w:rPr>
          <w:lang w:val="uk" w:eastAsia="uk"/>
        </w:rPr>
        <w:t xml:space="preserve">, цього Порядку, </w:t>
      </w:r>
      <w:proofErr w:type="spellStart"/>
      <w:r>
        <w:rPr>
          <w:lang w:val="uk" w:eastAsia="uk"/>
        </w:rPr>
        <w:t>iнших</w:t>
      </w:r>
      <w:proofErr w:type="spellEnd"/>
      <w:r>
        <w:rPr>
          <w:lang w:val="uk" w:eastAsia="uk"/>
        </w:rPr>
        <w:t xml:space="preserve"> актів законодавства, документів закладів освіти, програми моніторингу (да</w:t>
      </w:r>
      <w:r>
        <w:rPr>
          <w:lang w:val="uk" w:eastAsia="uk"/>
        </w:rPr>
        <w:t>лі - Програма), договору про проведення моніторингу (за його наявності).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7" w:name="n18"/>
      <w:bookmarkEnd w:id="17"/>
      <w:r>
        <w:rPr>
          <w:lang w:val="uk" w:eastAsia="uk"/>
        </w:rPr>
        <w:t xml:space="preserve">3. У цьому Порядку терміни вживаються у значеннях, що визначені Законом України </w:t>
      </w:r>
      <w:hyperlink r:id="rId12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lang w:val="uk" w:eastAsia="uk"/>
        </w:rPr>
        <w:t xml:space="preserve">, </w:t>
      </w:r>
      <w:hyperlink r:id="rId13" w:tgtFrame="_blank" w:history="1">
        <w:r>
          <w:rPr>
            <w:rStyle w:val="arvts96"/>
            <w:lang w:val="uk" w:eastAsia="uk"/>
          </w:rPr>
          <w:t>«Про дошкільну освіту»</w:t>
        </w:r>
      </w:hyperlink>
      <w:r>
        <w:rPr>
          <w:lang w:val="uk" w:eastAsia="uk"/>
        </w:rPr>
        <w:t xml:space="preserve">, </w:t>
      </w:r>
      <w:hyperlink r:id="rId14" w:tgtFrame="_blank" w:history="1">
        <w:r>
          <w:rPr>
            <w:rStyle w:val="arvts96"/>
            <w:lang w:val="uk" w:eastAsia="uk"/>
          </w:rPr>
          <w:t>«Про загальну середню освіту»</w:t>
        </w:r>
      </w:hyperlink>
      <w:r>
        <w:rPr>
          <w:lang w:val="uk" w:eastAsia="uk"/>
        </w:rPr>
        <w:t xml:space="preserve">, </w:t>
      </w:r>
      <w:hyperlink r:id="rId15" w:tgtFrame="_blank" w:history="1">
        <w:r>
          <w:rPr>
            <w:rStyle w:val="arvts96"/>
            <w:lang w:val="uk" w:eastAsia="uk"/>
          </w:rPr>
          <w:t>«Про позашкільну освіту»</w:t>
        </w:r>
      </w:hyperlink>
      <w:r>
        <w:rPr>
          <w:lang w:val="uk" w:eastAsia="uk"/>
        </w:rPr>
        <w:t>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8" w:name="n19"/>
      <w:bookmarkEnd w:id="18"/>
      <w:r>
        <w:rPr>
          <w:lang w:val="uk" w:eastAsia="uk"/>
        </w:rPr>
        <w:t>4. Моніторинг проводиться з метою виявлення та відстеження тенденцій у розвитку якості освіти в країні, на окремих територіях, у закладах освіти, встановлення відповідності фактичних результатів освітньої діяльності її</w:t>
      </w:r>
      <w:r>
        <w:rPr>
          <w:lang w:val="uk" w:eastAsia="uk"/>
        </w:rPr>
        <w:t xml:space="preserve"> заявленим цілям, оцінювання причин відхилень від цілей.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9" w:name="n20"/>
      <w:bookmarkEnd w:id="19"/>
      <w:r>
        <w:rPr>
          <w:lang w:val="uk" w:eastAsia="uk"/>
        </w:rPr>
        <w:t>5. Моніторинг проводиться відповідно до таких принципів: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0" w:name="n21"/>
      <w:bookmarkEnd w:id="20"/>
      <w:r>
        <w:rPr>
          <w:lang w:val="uk" w:eastAsia="uk"/>
        </w:rPr>
        <w:t>систематичності та системності;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1" w:name="n22"/>
      <w:bookmarkEnd w:id="21"/>
      <w:r>
        <w:rPr>
          <w:lang w:val="uk" w:eastAsia="uk"/>
        </w:rPr>
        <w:t>доцільності;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2" w:name="n23"/>
      <w:bookmarkEnd w:id="22"/>
      <w:r>
        <w:rPr>
          <w:lang w:val="uk" w:eastAsia="uk"/>
        </w:rPr>
        <w:t>прозорості моніторингових процедур та відкритості;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3" w:name="n24"/>
      <w:bookmarkEnd w:id="23"/>
      <w:r>
        <w:rPr>
          <w:lang w:val="uk" w:eastAsia="uk"/>
        </w:rPr>
        <w:t>безпеки персональних даних;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4" w:name="n25"/>
      <w:bookmarkEnd w:id="24"/>
      <w:r>
        <w:rPr>
          <w:lang w:val="uk" w:eastAsia="uk"/>
        </w:rPr>
        <w:t>об’єктивності одер</w:t>
      </w:r>
      <w:r>
        <w:rPr>
          <w:lang w:val="uk" w:eastAsia="uk"/>
        </w:rPr>
        <w:t>жання та аналізу інформації під час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5" w:name="n26"/>
      <w:bookmarkEnd w:id="25"/>
      <w:r>
        <w:rPr>
          <w:lang w:val="uk" w:eastAsia="uk"/>
        </w:rPr>
        <w:t>відповідального ставлення до своєї діяльності суб’єктів, які беруть участь у підготовці та проведенні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6" w:name="n27"/>
      <w:bookmarkEnd w:id="26"/>
      <w:r>
        <w:rPr>
          <w:lang w:val="uk" w:eastAsia="uk"/>
        </w:rPr>
        <w:lastRenderedPageBreak/>
        <w:t>6. Об’єктами моніторингу можуть бути: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7" w:name="n28"/>
      <w:bookmarkEnd w:id="27"/>
      <w:r>
        <w:rPr>
          <w:lang w:val="uk" w:eastAsia="uk"/>
        </w:rPr>
        <w:t>знеособлена інформація про учасників освітнього процес</w:t>
      </w:r>
      <w:r>
        <w:rPr>
          <w:lang w:val="uk" w:eastAsia="uk"/>
        </w:rPr>
        <w:t>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8" w:name="n29"/>
      <w:bookmarkEnd w:id="28"/>
      <w:r>
        <w:rPr>
          <w:lang w:val="uk" w:eastAsia="uk"/>
        </w:rPr>
        <w:t>освітні та управлінські процеси в закладі(ах) освіти;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29" w:name="n30"/>
      <w:bookmarkEnd w:id="29"/>
      <w:r>
        <w:rPr>
          <w:lang w:val="uk" w:eastAsia="uk"/>
        </w:rPr>
        <w:t>різні види діяльності учасників освітнього процесу (навчальна, викладацька, організаційна, управлінська тощо);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0" w:name="n31"/>
      <w:bookmarkEnd w:id="30"/>
      <w:r>
        <w:rPr>
          <w:lang w:val="uk" w:eastAsia="uk"/>
        </w:rPr>
        <w:t>умови здійснення освітньої та управлінської діяльності (матеріально-технічні, санітарно-</w:t>
      </w:r>
      <w:r>
        <w:rPr>
          <w:lang w:val="uk" w:eastAsia="uk"/>
        </w:rPr>
        <w:t>гігієнічні, нормативно-правові, кадрові, фінансові, навчально-методичні тощо);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1" w:name="n32"/>
      <w:bookmarkEnd w:id="31"/>
      <w:r>
        <w:rPr>
          <w:lang w:val="uk" w:eastAsia="uk"/>
        </w:rPr>
        <w:t>результати запровадження освітніх змін, інновацій;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2" w:name="n33"/>
      <w:bookmarkEnd w:id="32"/>
      <w:r>
        <w:rPr>
          <w:lang w:val="uk" w:eastAsia="uk"/>
        </w:rPr>
        <w:t>стан організації освітнього процесу в закладі освіти;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3" w:name="n34"/>
      <w:bookmarkEnd w:id="33"/>
      <w:r>
        <w:rPr>
          <w:lang w:val="uk" w:eastAsia="uk"/>
        </w:rPr>
        <w:t xml:space="preserve">результати навчання та розвитку здобувачів освіти, формування їх </w:t>
      </w:r>
      <w:proofErr w:type="spellStart"/>
      <w:r>
        <w:rPr>
          <w:lang w:val="uk" w:eastAsia="uk"/>
        </w:rPr>
        <w:t>компете</w:t>
      </w:r>
      <w:r>
        <w:rPr>
          <w:lang w:val="uk" w:eastAsia="uk"/>
        </w:rPr>
        <w:t>нтностей</w:t>
      </w:r>
      <w:proofErr w:type="spellEnd"/>
      <w:r>
        <w:rPr>
          <w:lang w:val="uk" w:eastAsia="uk"/>
        </w:rPr>
        <w:t>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4" w:name="n35"/>
      <w:bookmarkEnd w:id="34"/>
      <w:r>
        <w:rPr>
          <w:lang w:val="uk" w:eastAsia="uk"/>
        </w:rPr>
        <w:t>інші об’єкти, визначені у Програмі.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35" w:name="n36"/>
      <w:bookmarkEnd w:id="35"/>
      <w:r>
        <w:rPr>
          <w:rStyle w:val="spanrvts15"/>
          <w:lang w:val="uk" w:eastAsia="uk"/>
        </w:rPr>
        <w:t>II. Суб’єкти, які беруть участь у підготовці та проведенні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6" w:name="n37"/>
      <w:bookmarkEnd w:id="36"/>
      <w:r>
        <w:rPr>
          <w:lang w:val="uk" w:eastAsia="uk"/>
        </w:rPr>
        <w:t>1. Участь у підготовці та проведенні моніторингу беруть: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7" w:name="n38"/>
      <w:bookmarkEnd w:id="37"/>
      <w:r>
        <w:rPr>
          <w:lang w:val="uk" w:eastAsia="uk"/>
        </w:rPr>
        <w:t>суб’єкти, які проводять моніторинг (далі - суб’єкти моніторингу);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8" w:name="n39"/>
      <w:bookmarkEnd w:id="38"/>
      <w:r>
        <w:rPr>
          <w:lang w:val="uk" w:eastAsia="uk"/>
        </w:rPr>
        <w:t>суб’єкти, які ін</w:t>
      </w:r>
      <w:r>
        <w:rPr>
          <w:lang w:val="uk" w:eastAsia="uk"/>
        </w:rPr>
        <w:t>іціюють проведення моніторингу (далі - ініціатори моніторингу);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39" w:name="n40"/>
      <w:bookmarkEnd w:id="39"/>
      <w:r>
        <w:rPr>
          <w:lang w:val="uk" w:eastAsia="uk"/>
        </w:rPr>
        <w:t>суб’єкти, які здійснюють науково-методологічний супровід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0" w:name="n41"/>
      <w:bookmarkEnd w:id="40"/>
      <w:r>
        <w:rPr>
          <w:lang w:val="uk" w:eastAsia="uk"/>
        </w:rPr>
        <w:t>суб’єкти, які залучаються до опитування, спостереження або виконання письмових робіт (завдань) моніторингу на етапі провед</w:t>
      </w:r>
      <w:r>
        <w:rPr>
          <w:lang w:val="uk" w:eastAsia="uk"/>
        </w:rPr>
        <w:t>ення дослідження (далі - учасники дослідження).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1" w:name="n42"/>
      <w:bookmarkEnd w:id="41"/>
      <w:r>
        <w:rPr>
          <w:lang w:val="uk" w:eastAsia="uk"/>
        </w:rPr>
        <w:t xml:space="preserve">2. Суб’єктами моніторингу можуть бути: 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2" w:name="n43"/>
      <w:bookmarkEnd w:id="42"/>
      <w:r>
        <w:rPr>
          <w:lang w:val="uk" w:eastAsia="uk"/>
        </w:rPr>
        <w:t>1) Міністерство освіти і науки України;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3" w:name="n44"/>
      <w:bookmarkEnd w:id="43"/>
      <w:r>
        <w:rPr>
          <w:lang w:val="uk" w:eastAsia="uk"/>
        </w:rPr>
        <w:t>2) Державна служба якості освіти України, її територіальні органи;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4" w:name="n45"/>
      <w:bookmarkEnd w:id="44"/>
      <w:r>
        <w:rPr>
          <w:lang w:val="uk" w:eastAsia="uk"/>
        </w:rPr>
        <w:t xml:space="preserve">3) Український центр оцінювання якості освіти, його </w:t>
      </w:r>
      <w:r>
        <w:rPr>
          <w:lang w:val="uk" w:eastAsia="uk"/>
        </w:rPr>
        <w:t>регіональні центри;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5" w:name="n46"/>
      <w:bookmarkEnd w:id="45"/>
      <w:r>
        <w:rPr>
          <w:lang w:val="uk" w:eastAsia="uk"/>
        </w:rPr>
        <w:t>4) наукові організації, наукові, науково-методичні установи, інші установи, які належать до сфери управління Міністерства освіти і науки України;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6" w:name="n47"/>
      <w:bookmarkEnd w:id="46"/>
      <w:r>
        <w:rPr>
          <w:lang w:val="uk" w:eastAsia="uk"/>
        </w:rPr>
        <w:t>5) заклади освіти, їх засновники або уповноважені ними особи;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7" w:name="n48"/>
      <w:bookmarkEnd w:id="47"/>
      <w:r>
        <w:rPr>
          <w:lang w:val="uk" w:eastAsia="uk"/>
        </w:rPr>
        <w:t>6) інші юридичні особи, що з</w:t>
      </w:r>
      <w:r>
        <w:rPr>
          <w:lang w:val="uk" w:eastAsia="uk"/>
        </w:rPr>
        <w:t>дійснюють незалежне оцінювання якості освіти та освітньої діяльності.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8" w:name="n49"/>
      <w:bookmarkEnd w:id="48"/>
      <w:r>
        <w:rPr>
          <w:lang w:val="uk" w:eastAsia="uk"/>
        </w:rPr>
        <w:t>3. Ініціаторами моніторингу можуть бути суб’єкти, визначені підпунктами 1-5 пункту 2 цього розділу, а також місцеві державні адміністрації, органи місцевого самоврядування, громадські об</w:t>
      </w:r>
      <w:r>
        <w:rPr>
          <w:lang w:val="uk" w:eastAsia="uk"/>
        </w:rPr>
        <w:t>’єднання, інші юридичні і фізичні особи.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49" w:name="n50"/>
      <w:bookmarkEnd w:id="49"/>
      <w:r>
        <w:rPr>
          <w:lang w:val="uk" w:eastAsia="uk"/>
        </w:rPr>
        <w:t>У разі, якщо суб’єкт моніторингу не є його ініціатором, для забезпечення проведення моніторингу ініціатор та суб’єкт моніторингу можуть за домовленістю визначати вид і рівень моніторингу, заклад(и) освіти, в якому(</w:t>
      </w:r>
      <w:proofErr w:type="spellStart"/>
      <w:r>
        <w:rPr>
          <w:lang w:val="uk" w:eastAsia="uk"/>
        </w:rPr>
        <w:t>и</w:t>
      </w:r>
      <w:r>
        <w:rPr>
          <w:lang w:val="uk" w:eastAsia="uk"/>
        </w:rPr>
        <w:t>х</w:t>
      </w:r>
      <w:proofErr w:type="spellEnd"/>
      <w:r>
        <w:rPr>
          <w:lang w:val="uk" w:eastAsia="uk"/>
        </w:rPr>
        <w:t xml:space="preserve">) він проводитиметься, порядок оприлюднення результатів моніторингу (інформування про результати моніторингу), обладнання та інші ресурси, які використовуються суб’єктами моніторингу, вартість послуг і порядок </w:t>
      </w:r>
      <w:r>
        <w:rPr>
          <w:lang w:val="uk" w:eastAsia="uk"/>
        </w:rPr>
        <w:lastRenderedPageBreak/>
        <w:t>розрахунків за підготовку та проведення моніт</w:t>
      </w:r>
      <w:r>
        <w:rPr>
          <w:lang w:val="uk" w:eastAsia="uk"/>
        </w:rPr>
        <w:t>орингу (у разі їх здійснення), права на використання інформації, одержаної за результатами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0" w:name="n51"/>
      <w:bookmarkEnd w:id="50"/>
      <w:r>
        <w:rPr>
          <w:lang w:val="uk" w:eastAsia="uk"/>
        </w:rPr>
        <w:t>4. Суб’єктами, які здійснюють науково-методологічний супровід моніторингу, можуть бути: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1" w:name="n52"/>
      <w:bookmarkEnd w:id="51"/>
      <w:r>
        <w:rPr>
          <w:lang w:val="uk" w:eastAsia="uk"/>
        </w:rPr>
        <w:t>1) суб’єкти, зазначені у підпунктах 3-4 пункту 2 цього розділу;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2" w:name="n53"/>
      <w:bookmarkEnd w:id="52"/>
      <w:r>
        <w:rPr>
          <w:lang w:val="uk" w:eastAsia="uk"/>
        </w:rPr>
        <w:t>2) заклади вищої освіти, заклади післядипломної педагогічної освіти, науково-дослідні інститути, інші наукові, науково-методичні та методичні установи, наукові організації відповідно до законодавства та їх установчих документів.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3" w:name="n54"/>
      <w:bookmarkEnd w:id="53"/>
      <w:r>
        <w:rPr>
          <w:lang w:val="uk" w:eastAsia="uk"/>
        </w:rPr>
        <w:t>5. Учасниками дослідження м</w:t>
      </w:r>
      <w:r>
        <w:rPr>
          <w:lang w:val="uk" w:eastAsia="uk"/>
        </w:rPr>
        <w:t>ожуть бути: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4" w:name="n55"/>
      <w:bookmarkEnd w:id="54"/>
      <w:r>
        <w:rPr>
          <w:lang w:val="uk" w:eastAsia="uk"/>
        </w:rPr>
        <w:t>1) заклади дошкільної, загальної середньої та позашкільної освіти;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5" w:name="n56"/>
      <w:bookmarkEnd w:id="55"/>
      <w:r>
        <w:rPr>
          <w:lang w:val="uk" w:eastAsia="uk"/>
        </w:rPr>
        <w:t>2) здобувачі загальної середньої освіти та позашкільної (далі - здобувачі освіти);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6" w:name="n57"/>
      <w:bookmarkEnd w:id="56"/>
      <w:r>
        <w:rPr>
          <w:lang w:val="uk" w:eastAsia="uk"/>
        </w:rPr>
        <w:t>3) педагогічні працівники;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7" w:name="n58"/>
      <w:bookmarkEnd w:id="57"/>
      <w:r>
        <w:rPr>
          <w:lang w:val="uk" w:eastAsia="uk"/>
        </w:rPr>
        <w:t>4) батьки, інші законні представники здобувачів освіти.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58" w:name="n59"/>
      <w:bookmarkEnd w:id="58"/>
      <w:r>
        <w:rPr>
          <w:lang w:val="uk" w:eastAsia="uk"/>
        </w:rPr>
        <w:t>При проведе</w:t>
      </w:r>
      <w:r>
        <w:rPr>
          <w:lang w:val="uk" w:eastAsia="uk"/>
        </w:rPr>
        <w:t>нні моніторингу в закладах дошкільної освіти здобувачі освіти не включаються до переліку учасників дослідження.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59" w:name="n60"/>
      <w:bookmarkEnd w:id="59"/>
      <w:r>
        <w:rPr>
          <w:rStyle w:val="spanrvts15"/>
          <w:lang w:val="uk" w:eastAsia="uk"/>
        </w:rPr>
        <w:t>III. Види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0" w:name="n61"/>
      <w:bookmarkEnd w:id="60"/>
      <w:r>
        <w:rPr>
          <w:lang w:val="uk" w:eastAsia="uk"/>
        </w:rPr>
        <w:t>1. Моніторинг може бути внутрішнім і зовнішнім.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1" w:name="n62"/>
      <w:bookmarkEnd w:id="61"/>
      <w:r>
        <w:rPr>
          <w:lang w:val="uk" w:eastAsia="uk"/>
        </w:rPr>
        <w:t>2. Моніторинг може проводитися на локальному, регіональному, загальнодержа</w:t>
      </w:r>
      <w:r>
        <w:rPr>
          <w:lang w:val="uk" w:eastAsia="uk"/>
        </w:rPr>
        <w:t>вному, міжнародному рівнях.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2" w:name="n63"/>
      <w:bookmarkEnd w:id="62"/>
      <w:r>
        <w:rPr>
          <w:lang w:val="uk" w:eastAsia="uk"/>
        </w:rPr>
        <w:t>Моніторинг на локальному рівні може проводитися: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3" w:name="n64"/>
      <w:bookmarkEnd w:id="63"/>
      <w:r>
        <w:rPr>
          <w:lang w:val="uk" w:eastAsia="uk"/>
        </w:rPr>
        <w:t>для дослідження стану і результатів освіти та освітньої діяльності закладу освіти (на рівні закладу освіти);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4" w:name="n65"/>
      <w:bookmarkEnd w:id="64"/>
      <w:r>
        <w:rPr>
          <w:lang w:val="uk" w:eastAsia="uk"/>
        </w:rPr>
        <w:t>для дослідження стану та результатів функціонування і розвитку системи</w:t>
      </w:r>
      <w:r>
        <w:rPr>
          <w:lang w:val="uk" w:eastAsia="uk"/>
        </w:rPr>
        <w:t xml:space="preserve"> освіти села, селища, міста, району, об’єднаної територіальної громади (на місцевому рівні).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5" w:name="n66"/>
      <w:bookmarkEnd w:id="65"/>
      <w:r>
        <w:rPr>
          <w:lang w:val="uk" w:eastAsia="uk"/>
        </w:rPr>
        <w:t>Моніторинг на регіональному рівні проводиться для дослідження стану та результатів функціонування і розвитку системи освіти Автономної Республіки Крим, областей.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6" w:name="n67"/>
      <w:bookmarkEnd w:id="66"/>
      <w:r>
        <w:rPr>
          <w:lang w:val="uk" w:eastAsia="uk"/>
        </w:rPr>
        <w:t>М</w:t>
      </w:r>
      <w:r>
        <w:rPr>
          <w:lang w:val="uk" w:eastAsia="uk"/>
        </w:rPr>
        <w:t>оніторинг на загальнодержавному рівні проводиться для дослідження стану та результатів функціонування і розвитку системи освіти (окремих її складових) в Україні.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7" w:name="n68"/>
      <w:bookmarkEnd w:id="67"/>
      <w:r>
        <w:rPr>
          <w:lang w:val="uk" w:eastAsia="uk"/>
        </w:rPr>
        <w:t>Моніторинг на міжнародному рівні проводиться для дослідження стану та результатів функціонуван</w:t>
      </w:r>
      <w:r>
        <w:rPr>
          <w:lang w:val="uk" w:eastAsia="uk"/>
        </w:rPr>
        <w:t>ня і розвитку системи освіти (окремих її складових) України в порівнянні з іншими країнами.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8" w:name="n69"/>
      <w:bookmarkEnd w:id="68"/>
      <w:r>
        <w:rPr>
          <w:lang w:val="uk" w:eastAsia="uk"/>
        </w:rPr>
        <w:t>3. Внутрішній моніторинг проводиться на рівні закладу освіти.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69" w:name="n70"/>
      <w:bookmarkEnd w:id="69"/>
      <w:r>
        <w:rPr>
          <w:lang w:val="uk" w:eastAsia="uk"/>
        </w:rPr>
        <w:t>Внутрішній моніторинг ініціюється та проводиться закладом освіти.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0" w:name="n71"/>
      <w:bookmarkEnd w:id="70"/>
      <w:r>
        <w:rPr>
          <w:lang w:val="uk" w:eastAsia="uk"/>
        </w:rPr>
        <w:t>Заклад освіти може визначати порядок</w:t>
      </w:r>
      <w:r>
        <w:rPr>
          <w:lang w:val="uk" w:eastAsia="uk"/>
        </w:rPr>
        <w:t xml:space="preserve"> проведення внутрішнього моніторингу з урахуванням вимог цього Порядку та інших актів законодавства.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1" w:name="n72"/>
      <w:bookmarkEnd w:id="71"/>
      <w:r>
        <w:rPr>
          <w:lang w:val="uk" w:eastAsia="uk"/>
        </w:rPr>
        <w:t>4. Зовнішній моніторинг може проводитися на рівні закладу освіти, місцевому, регіональному, загальнодержавному, міжнародному рівнях.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2" w:name="n73"/>
      <w:bookmarkEnd w:id="72"/>
      <w:r>
        <w:rPr>
          <w:lang w:val="uk" w:eastAsia="uk"/>
        </w:rPr>
        <w:lastRenderedPageBreak/>
        <w:t>5. Моніторинг на загал</w:t>
      </w:r>
      <w:r>
        <w:rPr>
          <w:lang w:val="uk" w:eastAsia="uk"/>
        </w:rPr>
        <w:t xml:space="preserve">ьнодержавному рівні можуть ініціювати та проводити суб’єкти, визначені у підпунктах 1-4 пункту 2 </w:t>
      </w:r>
      <w:hyperlink w:anchor="n36" w:history="1">
        <w:r>
          <w:rPr>
            <w:rStyle w:val="arvts99"/>
            <w:lang w:val="uk" w:eastAsia="uk"/>
          </w:rPr>
          <w:t>розділу II</w:t>
        </w:r>
      </w:hyperlink>
      <w:r>
        <w:rPr>
          <w:lang w:val="uk" w:eastAsia="uk"/>
        </w:rPr>
        <w:t xml:space="preserve"> цього Порядку.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3" w:name="n74"/>
      <w:bookmarkEnd w:id="73"/>
      <w:r>
        <w:rPr>
          <w:lang w:val="uk" w:eastAsia="uk"/>
        </w:rPr>
        <w:t>Інші суб’єкти можуть ініціювати та проводити моніторинг на загальнодержавному рівні за погодженням з Міністерс</w:t>
      </w:r>
      <w:r>
        <w:rPr>
          <w:lang w:val="uk" w:eastAsia="uk"/>
        </w:rPr>
        <w:t>твом освіти і науки України.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4" w:name="n75"/>
      <w:bookmarkEnd w:id="74"/>
      <w:r>
        <w:rPr>
          <w:lang w:val="uk" w:eastAsia="uk"/>
        </w:rPr>
        <w:t>6. Зовнішній моніторинг на міжнародному рівні проводиться шляхом участі України в міжнародних порівняльних дослідженнях (Міжнародному порівняльному дослідженні якості природничо-математичної освіти (TIMSS), Міжнародному дослідж</w:t>
      </w:r>
      <w:r>
        <w:rPr>
          <w:lang w:val="uk" w:eastAsia="uk"/>
        </w:rPr>
        <w:t>енні якості освіти (PISA), Міжнародному дослідженні читацької грамотності (PIRLS) тощо).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5" w:name="n76"/>
      <w:bookmarkEnd w:id="75"/>
      <w:r>
        <w:rPr>
          <w:lang w:val="uk" w:eastAsia="uk"/>
        </w:rPr>
        <w:t>Міністерство освіти і науки України організовує участь закладів освіти у порівняльних міжнародних дослідженнях якості освіти.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6" w:name="n77"/>
      <w:bookmarkEnd w:id="76"/>
      <w:r>
        <w:rPr>
          <w:lang w:val="uk" w:eastAsia="uk"/>
        </w:rPr>
        <w:t>Результати міжнародних порівняльних дослі</w:t>
      </w:r>
      <w:r>
        <w:rPr>
          <w:lang w:val="uk" w:eastAsia="uk"/>
        </w:rPr>
        <w:t xml:space="preserve">джень у сфері загальної середньої освіти оприлюднюються на офіційному </w:t>
      </w:r>
      <w:proofErr w:type="spellStart"/>
      <w:r>
        <w:rPr>
          <w:lang w:val="uk" w:eastAsia="uk"/>
        </w:rPr>
        <w:t>вебсайті</w:t>
      </w:r>
      <w:proofErr w:type="spellEnd"/>
      <w:r>
        <w:rPr>
          <w:lang w:val="uk" w:eastAsia="uk"/>
        </w:rPr>
        <w:t xml:space="preserve"> Міністерства освіти і науки України та враховуються під час формування та реалізації державної політики у відповідній сфері.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77" w:name="n78"/>
      <w:bookmarkEnd w:id="77"/>
      <w:r>
        <w:rPr>
          <w:rStyle w:val="spanrvts15"/>
          <w:lang w:val="uk" w:eastAsia="uk"/>
        </w:rPr>
        <w:t>IV. Процедура підготовки та проведення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8" w:name="n79"/>
      <w:bookmarkEnd w:id="78"/>
      <w:r>
        <w:rPr>
          <w:lang w:val="uk" w:eastAsia="uk"/>
        </w:rPr>
        <w:t>1</w:t>
      </w:r>
      <w:r>
        <w:rPr>
          <w:lang w:val="uk" w:eastAsia="uk"/>
        </w:rPr>
        <w:t>. Моніторинг проводиться у такі етапи: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79" w:name="n80"/>
      <w:bookmarkEnd w:id="79"/>
      <w:r>
        <w:rPr>
          <w:lang w:val="uk" w:eastAsia="uk"/>
        </w:rPr>
        <w:t>планування та підготовка моніторингу (формулювання проблеми, що досліджуватиметься; визначення мети та завдань моніторингу; розрахунок і формування вибірки, оцінка її репрезентативності; визначення критеріїв і показни</w:t>
      </w:r>
      <w:r>
        <w:rPr>
          <w:lang w:val="uk" w:eastAsia="uk"/>
        </w:rPr>
        <w:t>ків оцінювання результатів дослідження тощо);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0" w:name="n81"/>
      <w:bookmarkEnd w:id="80"/>
      <w:r>
        <w:rPr>
          <w:lang w:val="uk" w:eastAsia="uk"/>
        </w:rPr>
        <w:t>розробка Програми;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1" w:name="n82"/>
      <w:bookmarkEnd w:id="81"/>
      <w:r>
        <w:rPr>
          <w:lang w:val="uk" w:eastAsia="uk"/>
        </w:rPr>
        <w:t>проведення дослідження (відповідно до форм і методів, визначених у пунктах 2-3 цього розділу, із залученням учасників дослідження, визначених у пункті 5 розділу II цього Порядку);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2" w:name="n83"/>
      <w:bookmarkEnd w:id="82"/>
      <w:r>
        <w:rPr>
          <w:lang w:val="uk" w:eastAsia="uk"/>
        </w:rPr>
        <w:t>збір та обр</w:t>
      </w:r>
      <w:r>
        <w:rPr>
          <w:lang w:val="uk" w:eastAsia="uk"/>
        </w:rPr>
        <w:t>облення результатів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3" w:name="n84"/>
      <w:bookmarkEnd w:id="83"/>
      <w:r>
        <w:rPr>
          <w:lang w:val="uk" w:eastAsia="uk"/>
        </w:rPr>
        <w:t>аналіз та інтерпретація (узагальнення та пояснення результатів, визначення закономірностей, формулювання висновків тощо) результатів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4" w:name="n85"/>
      <w:bookmarkEnd w:id="84"/>
      <w:r>
        <w:rPr>
          <w:lang w:val="uk" w:eastAsia="uk"/>
        </w:rPr>
        <w:t>оприлюднення результатів моніторингу (інформування про результати моніторингу</w:t>
      </w:r>
      <w:r>
        <w:rPr>
          <w:lang w:val="uk" w:eastAsia="uk"/>
        </w:rPr>
        <w:t>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5" w:name="n86"/>
      <w:bookmarkEnd w:id="85"/>
      <w:r>
        <w:rPr>
          <w:lang w:val="uk" w:eastAsia="uk"/>
        </w:rPr>
        <w:t>2. Методами проведення дослідження під час моніторингу можуть бути: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6" w:name="n87"/>
      <w:bookmarkEnd w:id="86"/>
      <w:r>
        <w:rPr>
          <w:lang w:val="uk" w:eastAsia="uk"/>
        </w:rPr>
        <w:t>опитування (анкетування, інтерв’ювання);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7" w:name="n88"/>
      <w:bookmarkEnd w:id="87"/>
      <w:r>
        <w:rPr>
          <w:lang w:val="uk" w:eastAsia="uk"/>
        </w:rPr>
        <w:t>тестування;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8" w:name="n89"/>
      <w:bookmarkEnd w:id="88"/>
      <w:r>
        <w:rPr>
          <w:lang w:val="uk" w:eastAsia="uk"/>
        </w:rPr>
        <w:t>спостереження за освітнім процесом та освітньою діяльністю у закладах освіти;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89" w:name="n90"/>
      <w:bookmarkEnd w:id="89"/>
      <w:r>
        <w:rPr>
          <w:lang w:val="uk" w:eastAsia="uk"/>
        </w:rPr>
        <w:t>фокус-група;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0" w:name="n91"/>
      <w:bookmarkEnd w:id="90"/>
      <w:r>
        <w:rPr>
          <w:lang w:val="uk" w:eastAsia="uk"/>
        </w:rPr>
        <w:t xml:space="preserve">аналіз документації закладів освіти, їх </w:t>
      </w:r>
      <w:r>
        <w:rPr>
          <w:lang w:val="uk" w:eastAsia="uk"/>
        </w:rPr>
        <w:t>засновників;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1" w:name="n92"/>
      <w:bookmarkEnd w:id="91"/>
      <w:r>
        <w:rPr>
          <w:lang w:val="uk" w:eastAsia="uk"/>
        </w:rPr>
        <w:t>аналіз статистичних даних про стан системи освіти за встановленими формами звітності;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2" w:name="n93"/>
      <w:bookmarkEnd w:id="92"/>
      <w:r>
        <w:rPr>
          <w:lang w:val="uk" w:eastAsia="uk"/>
        </w:rPr>
        <w:t>інші методи, визначені у Програмі.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3" w:name="n94"/>
      <w:bookmarkEnd w:id="93"/>
      <w:r>
        <w:rPr>
          <w:lang w:val="uk" w:eastAsia="uk"/>
        </w:rPr>
        <w:t>3. Моніторинг може проводитися у формі: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4" w:name="n95"/>
      <w:bookmarkEnd w:id="94"/>
      <w:r>
        <w:rPr>
          <w:lang w:val="uk" w:eastAsia="uk"/>
        </w:rPr>
        <w:lastRenderedPageBreak/>
        <w:t>безпосереднього одержання інформації від учасників дослідження (за допомогою спост</w:t>
      </w:r>
      <w:r>
        <w:rPr>
          <w:lang w:val="uk" w:eastAsia="uk"/>
        </w:rPr>
        <w:t>ереження, інтерв’ювання тощо);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5" w:name="n96"/>
      <w:bookmarkEnd w:id="95"/>
      <w:r>
        <w:rPr>
          <w:lang w:val="uk" w:eastAsia="uk"/>
        </w:rPr>
        <w:t xml:space="preserve">опосередкованого одержання інформації від учасників дослідження (у письмовій та/або електронній формі, із залученням експертів тощо); 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6" w:name="n97"/>
      <w:bookmarkEnd w:id="96"/>
      <w:r>
        <w:rPr>
          <w:lang w:val="uk" w:eastAsia="uk"/>
        </w:rPr>
        <w:t xml:space="preserve">одержання інформації без залучення учасників дослідження (за допомогою вивчення </w:t>
      </w:r>
      <w:r>
        <w:rPr>
          <w:lang w:val="uk" w:eastAsia="uk"/>
        </w:rPr>
        <w:t>документації, статистичної або оперативної інформації тощо).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7" w:name="n98"/>
      <w:bookmarkEnd w:id="97"/>
      <w:r>
        <w:rPr>
          <w:lang w:val="uk" w:eastAsia="uk"/>
        </w:rPr>
        <w:t>Моніторинг може проводитися з використанням сучасних інформаційно-комунікаційних і цифрових технологій, у тому числі дистанційно.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8" w:name="n99"/>
      <w:bookmarkEnd w:id="98"/>
      <w:r>
        <w:rPr>
          <w:lang w:val="uk" w:eastAsia="uk"/>
        </w:rPr>
        <w:t>Під час проведення дослідження можуть використовуватися фронтальн</w:t>
      </w:r>
      <w:r>
        <w:rPr>
          <w:lang w:val="uk" w:eastAsia="uk"/>
        </w:rPr>
        <w:t>а, групова або індивідуальна робота учасників дослідження.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99" w:name="n100"/>
      <w:bookmarkEnd w:id="99"/>
      <w:r>
        <w:rPr>
          <w:lang w:val="uk" w:eastAsia="uk"/>
        </w:rPr>
        <w:t>4. Програма розробляється та затверджується суб’єктом моніторингу. Якщо зовнішній моніторинг ініціював інший суб’єкт, Програма погоджується з ініціатором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0" w:name="n101"/>
      <w:bookmarkEnd w:id="100"/>
      <w:r>
        <w:rPr>
          <w:lang w:val="uk" w:eastAsia="uk"/>
        </w:rPr>
        <w:t>Програма оприлюднюється у будь</w:t>
      </w:r>
      <w:r>
        <w:rPr>
          <w:lang w:val="uk" w:eastAsia="uk"/>
        </w:rPr>
        <w:t>-який спосіб, визначений суб’єктом моніторингу та узгоджений з ініціатором моніторингу (за його наявності).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1" w:name="n102"/>
      <w:bookmarkEnd w:id="101"/>
      <w:r>
        <w:rPr>
          <w:lang w:val="uk" w:eastAsia="uk"/>
        </w:rPr>
        <w:t>5. У Програмі визначаються мета і завдання, суб’єкти, об’єкт(и), форми та методи, індикатори, умови (у тому числі місце проведення), процедури прове</w:t>
      </w:r>
      <w:r>
        <w:rPr>
          <w:lang w:val="uk" w:eastAsia="uk"/>
        </w:rPr>
        <w:t>дення відповідного моніторингу, порядок визначення результатів моніторингу, строки та форми узагальнення результатів моніторингу, а також оприлюднення результатів моніторингу (інформування про них).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2" w:name="n103"/>
      <w:bookmarkEnd w:id="102"/>
      <w:r>
        <w:rPr>
          <w:lang w:val="uk" w:eastAsia="uk"/>
        </w:rPr>
        <w:t>У Програмі обов’язково зазначається вид моніторингу відпо</w:t>
      </w:r>
      <w:r>
        <w:rPr>
          <w:lang w:val="uk" w:eastAsia="uk"/>
        </w:rPr>
        <w:t xml:space="preserve">відно до </w:t>
      </w:r>
      <w:hyperlink w:anchor="n61" w:history="1">
        <w:r>
          <w:rPr>
            <w:rStyle w:val="arvts99"/>
            <w:lang w:val="uk" w:eastAsia="uk"/>
          </w:rPr>
          <w:t>пунктів 1-3</w:t>
        </w:r>
      </w:hyperlink>
      <w:r>
        <w:rPr>
          <w:lang w:val="uk" w:eastAsia="uk"/>
        </w:rPr>
        <w:t xml:space="preserve"> розділу III цього Порядку. Суб’єкт моніторингу також може зазначити у Програмі про належність моніторингу, що проводитиметься, до інших видів моніторингових досліджень, визначених за певними науково обґрунтованим</w:t>
      </w:r>
      <w:r>
        <w:rPr>
          <w:lang w:val="uk" w:eastAsia="uk"/>
        </w:rPr>
        <w:t>и ознаками.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3" w:name="n104"/>
      <w:bookmarkEnd w:id="103"/>
      <w:r>
        <w:rPr>
          <w:lang w:val="uk" w:eastAsia="uk"/>
        </w:rPr>
        <w:t>До Програми додається графік проведення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4" w:name="n105"/>
      <w:bookmarkEnd w:id="104"/>
      <w:r>
        <w:rPr>
          <w:lang w:val="uk" w:eastAsia="uk"/>
        </w:rPr>
        <w:t>Програма розробляється на основі науково обґрунтованої методології з урахуванням вікових особливостей учасників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5" w:name="n106"/>
      <w:bookmarkEnd w:id="105"/>
      <w:r>
        <w:rPr>
          <w:lang w:val="uk" w:eastAsia="uk"/>
        </w:rPr>
        <w:t>6. У разі проведення моніторингу на міжнародному рівні його Програ</w:t>
      </w:r>
      <w:r>
        <w:rPr>
          <w:lang w:val="uk" w:eastAsia="uk"/>
        </w:rPr>
        <w:t>мою вважаються програмні документи щодо відповідного моніторингу, розроблені міжнародною організацією, яка проводить моніторинг. Така Програма не потребує затвердження або погодження в Україні.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6" w:name="n107"/>
      <w:bookmarkEnd w:id="106"/>
      <w:r>
        <w:rPr>
          <w:lang w:val="uk" w:eastAsia="uk"/>
        </w:rPr>
        <w:t>7. Моніторинг проводиться в терміни, визначені у Програмі.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7" w:name="n108"/>
      <w:bookmarkEnd w:id="107"/>
      <w:r>
        <w:rPr>
          <w:lang w:val="uk" w:eastAsia="uk"/>
        </w:rPr>
        <w:t>При</w:t>
      </w:r>
      <w:r>
        <w:rPr>
          <w:lang w:val="uk" w:eastAsia="uk"/>
        </w:rPr>
        <w:t xml:space="preserve"> визначенні термінів проведення моніторингу суб’єкт моніторингу має враховувати можливі ризики, пов’язані з надмірним навантаженням на здобувачів освіти та педагогічних працівників внаслідок збігу кількох контрольно-вимірювальних заходів (зовнішнє незалежн</w:t>
      </w:r>
      <w:r>
        <w:rPr>
          <w:lang w:val="uk" w:eastAsia="uk"/>
        </w:rPr>
        <w:t>е оцінювання, державна підсумкова атестація тощо).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8" w:name="n109"/>
      <w:bookmarkEnd w:id="108"/>
      <w:r>
        <w:rPr>
          <w:lang w:val="uk" w:eastAsia="uk"/>
        </w:rPr>
        <w:t>Термін проведення зовнішнього моніторингу має бути узгоджений суб’єктом моніторингу із закладом освіти (учасником моніторингу) і визначений у графіку проведення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09" w:name="n110"/>
      <w:bookmarkEnd w:id="109"/>
      <w:r>
        <w:rPr>
          <w:lang w:val="uk" w:eastAsia="uk"/>
        </w:rPr>
        <w:t>8. Моніторинг проводиться держа</w:t>
      </w:r>
      <w:r>
        <w:rPr>
          <w:lang w:val="uk" w:eastAsia="uk"/>
        </w:rPr>
        <w:t>вною мовою, крім випадків, коли для досягнення цілей моніторингу доцільним є його проведення англійською мовою, іншими офіційними мовами Європейського Союзу, мовою корінного народу або національної меншини України.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0" w:name="n111"/>
      <w:bookmarkEnd w:id="110"/>
      <w:r>
        <w:rPr>
          <w:lang w:val="uk" w:eastAsia="uk"/>
        </w:rPr>
        <w:lastRenderedPageBreak/>
        <w:t xml:space="preserve">Проведення моніторингу іншою мовою, крім </w:t>
      </w:r>
      <w:r>
        <w:rPr>
          <w:lang w:val="uk" w:eastAsia="uk"/>
        </w:rPr>
        <w:t>державної, має бути обґрунтовано в Програмі.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1" w:name="n112"/>
      <w:bookmarkEnd w:id="111"/>
      <w:r>
        <w:rPr>
          <w:lang w:val="uk" w:eastAsia="uk"/>
        </w:rPr>
        <w:t>9. Місцем проведення зовнішнього моніторингу може бути: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2" w:name="n113"/>
      <w:bookmarkEnd w:id="112"/>
      <w:r>
        <w:rPr>
          <w:lang w:val="uk" w:eastAsia="uk"/>
        </w:rPr>
        <w:t>заклад освіти, де навчаються здобувачі освіти, працюють педагогічні працівники;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3" w:name="n114"/>
      <w:bookmarkEnd w:id="113"/>
      <w:r>
        <w:rPr>
          <w:lang w:val="uk" w:eastAsia="uk"/>
        </w:rPr>
        <w:t xml:space="preserve">заклад освіти, який суб’єктом моніторингу визначено базовим для проведення </w:t>
      </w:r>
      <w:r>
        <w:rPr>
          <w:lang w:val="uk" w:eastAsia="uk"/>
        </w:rPr>
        <w:t>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4" w:name="n115"/>
      <w:bookmarkEnd w:id="114"/>
      <w:r>
        <w:rPr>
          <w:lang w:val="uk" w:eastAsia="uk"/>
        </w:rPr>
        <w:t>установа чи організація, приміщення яких використовуються для проведення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5" w:name="n116"/>
      <w:bookmarkEnd w:id="115"/>
      <w:r>
        <w:rPr>
          <w:lang w:val="uk" w:eastAsia="uk"/>
        </w:rPr>
        <w:t>У разі проведення зовнішнього моніторингу із застосуванням комп’ютерної техніки місце його проведення визначається за місцем знаходження відповідної техніки.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6" w:name="n117"/>
      <w:bookmarkEnd w:id="116"/>
      <w:r>
        <w:rPr>
          <w:lang w:val="uk" w:eastAsia="uk"/>
        </w:rPr>
        <w:t>Зовнішній моніторинг, учасниками якого є особи віком до 14 років, проводиться в закладі освіти, де вони здобувають освіту.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117" w:name="n118"/>
      <w:bookmarkEnd w:id="117"/>
      <w:r>
        <w:rPr>
          <w:rStyle w:val="spanrvts15"/>
          <w:lang w:val="uk" w:eastAsia="uk"/>
        </w:rPr>
        <w:t>V. Участь у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8" w:name="n119"/>
      <w:bookmarkEnd w:id="118"/>
      <w:r>
        <w:rPr>
          <w:lang w:val="uk" w:eastAsia="uk"/>
        </w:rPr>
        <w:t>1. Участь закладів освіти та учасників освітнього процесу в зовнішньому моніторингу якості освіти є добровіл</w:t>
      </w:r>
      <w:r>
        <w:rPr>
          <w:lang w:val="uk" w:eastAsia="uk"/>
        </w:rPr>
        <w:t>ьною (крім моніторингу на загальнодержавному або міжнародному рівнях).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19" w:name="n120"/>
      <w:bookmarkEnd w:id="119"/>
      <w:r>
        <w:rPr>
          <w:lang w:val="uk" w:eastAsia="uk"/>
        </w:rPr>
        <w:t>Суб’єкт моніторингу забезпечує отримання письмової згоди від учасників дослідження (у разі неповноліття здобувачів освіти - згоду одного з їх батьків, інших законних представників) щодо</w:t>
      </w:r>
      <w:r>
        <w:rPr>
          <w:lang w:val="uk" w:eastAsia="uk"/>
        </w:rPr>
        <w:t xml:space="preserve"> їх участі у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0" w:name="n121"/>
      <w:bookmarkEnd w:id="120"/>
      <w:r>
        <w:rPr>
          <w:lang w:val="uk" w:eastAsia="uk"/>
        </w:rPr>
        <w:t>2. При проведенні зовнішнього моніторингу перелік учасників дослідження (із зазначенням закладів освіти, категорій учасників освітнього процесу та їх чисельності) має бути оприлюднений не пізніше, ніж за десять днів до початку йог</w:t>
      </w:r>
      <w:r>
        <w:rPr>
          <w:lang w:val="uk" w:eastAsia="uk"/>
        </w:rPr>
        <w:t>о проведення, у будь-який спосіб, визначений суб’єктом моніторингу та узгоджений з ініціатором моніторингу (у разі потреби).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1" w:name="n122"/>
      <w:bookmarkEnd w:id="121"/>
      <w:r>
        <w:rPr>
          <w:lang w:val="uk" w:eastAsia="uk"/>
        </w:rPr>
        <w:t>3. Для забезпечення участі в моніторингу учасників дослідження суб’єкти моніторингу забезпечують: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2" w:name="n123"/>
      <w:bookmarkEnd w:id="122"/>
      <w:r>
        <w:rPr>
          <w:lang w:val="uk" w:eastAsia="uk"/>
        </w:rPr>
        <w:t>інформування учасників щодо вимог</w:t>
      </w:r>
      <w:r>
        <w:rPr>
          <w:lang w:val="uk" w:eastAsia="uk"/>
        </w:rPr>
        <w:t xml:space="preserve"> проведення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3" w:name="n124"/>
      <w:bookmarkEnd w:id="123"/>
      <w:r>
        <w:rPr>
          <w:lang w:val="uk" w:eastAsia="uk"/>
        </w:rPr>
        <w:t>виконання учасниками дослідження завдань, розроблених згідно з Програмою;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4" w:name="n125"/>
      <w:bookmarkEnd w:id="124"/>
      <w:r>
        <w:rPr>
          <w:lang w:val="uk" w:eastAsia="uk"/>
        </w:rPr>
        <w:t>дотримання етичних правил поведінки під час проведення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5" w:name="n126"/>
      <w:bookmarkEnd w:id="125"/>
      <w:r>
        <w:rPr>
          <w:lang w:val="uk" w:eastAsia="uk"/>
        </w:rPr>
        <w:t>безпечні умови для всіх учасників дослідження під час його проведення;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6" w:name="n127"/>
      <w:bookmarkEnd w:id="126"/>
      <w:r>
        <w:rPr>
          <w:lang w:val="uk" w:eastAsia="uk"/>
        </w:rPr>
        <w:t>організацію безкош</w:t>
      </w:r>
      <w:r>
        <w:rPr>
          <w:lang w:val="uk" w:eastAsia="uk"/>
        </w:rPr>
        <w:t>товної медичної допомоги за місцем проведення моніторингу (у разі потреби).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7" w:name="n128"/>
      <w:bookmarkEnd w:id="127"/>
      <w:r>
        <w:rPr>
          <w:lang w:val="uk" w:eastAsia="uk"/>
        </w:rPr>
        <w:t xml:space="preserve">4. При проведенні зовнішнього моніторингу заклади освіти, які є учасниками дослідження, створюють належні умови для його проведення, зокрема надають необхідні приміщення, </w:t>
      </w:r>
      <w:r>
        <w:rPr>
          <w:lang w:val="uk" w:eastAsia="uk"/>
        </w:rPr>
        <w:t>матеріально-технічні ресурси, забезпечують розумне пристосування для осіб з особливими освітніми потребами (у разі потреби), вносять необхідні зміни до графіку освітнього процесу.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8" w:name="n129"/>
      <w:bookmarkEnd w:id="128"/>
      <w:r>
        <w:rPr>
          <w:lang w:val="uk" w:eastAsia="uk"/>
        </w:rPr>
        <w:t>5. Якщо зовнішній моніторинг проводиться в закладі освіти, який визначено ба</w:t>
      </w:r>
      <w:r>
        <w:rPr>
          <w:lang w:val="uk" w:eastAsia="uk"/>
        </w:rPr>
        <w:t xml:space="preserve">зовим для проведення моніторингу, або в іншій установі, організації, приміщення яких </w:t>
      </w:r>
      <w:r>
        <w:rPr>
          <w:lang w:val="uk" w:eastAsia="uk"/>
        </w:rPr>
        <w:lastRenderedPageBreak/>
        <w:t>використовуються для проведення моніторингу, суб’єкт моніторингу забезпечує підвезення учасників дослідження.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29" w:name="n130"/>
      <w:bookmarkEnd w:id="129"/>
      <w:r>
        <w:rPr>
          <w:lang w:val="uk" w:eastAsia="uk"/>
        </w:rPr>
        <w:t>6. Учасники дослідження повинні: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0" w:name="n131"/>
      <w:bookmarkEnd w:id="130"/>
      <w:r>
        <w:rPr>
          <w:lang w:val="uk" w:eastAsia="uk"/>
        </w:rPr>
        <w:t>дотримуватися вимог проведен</w:t>
      </w:r>
      <w:r>
        <w:rPr>
          <w:lang w:val="uk" w:eastAsia="uk"/>
        </w:rPr>
        <w:t>ня моніторингу, про які вони були поінформовані;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1" w:name="n132"/>
      <w:bookmarkEnd w:id="131"/>
      <w:r>
        <w:rPr>
          <w:lang w:val="uk" w:eastAsia="uk"/>
        </w:rPr>
        <w:t>виконувати інструкції осіб, які проводять моніторинг, щодо процедури моніторингу;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2" w:name="n133"/>
      <w:bookmarkEnd w:id="132"/>
      <w:r>
        <w:rPr>
          <w:lang w:val="uk" w:eastAsia="uk"/>
        </w:rPr>
        <w:t>виконувати завдання, оформляти виконану роботу згідно із правилами, визначеними в інструкції до неї;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3" w:name="n134"/>
      <w:bookmarkEnd w:id="133"/>
      <w:r>
        <w:rPr>
          <w:lang w:val="uk" w:eastAsia="uk"/>
        </w:rPr>
        <w:t>після завершення часу, в</w:t>
      </w:r>
      <w:r>
        <w:rPr>
          <w:lang w:val="uk" w:eastAsia="uk"/>
        </w:rPr>
        <w:t>ідведеного для виконання письмової роботи (завдання), повернути матеріали моніторингу особам, які проводять моніторинг;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4" w:name="n135"/>
      <w:bookmarkEnd w:id="134"/>
      <w:r>
        <w:rPr>
          <w:lang w:val="uk" w:eastAsia="uk"/>
        </w:rPr>
        <w:t>дотримуватися правил етичної поведінки та принципів академічної доброчесності;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5" w:name="n136"/>
      <w:bookmarkEnd w:id="135"/>
      <w:r>
        <w:rPr>
          <w:lang w:val="uk" w:eastAsia="uk"/>
        </w:rPr>
        <w:t>виконувати роботу (завдання) на робочому місці, визначено</w:t>
      </w:r>
      <w:r>
        <w:rPr>
          <w:lang w:val="uk" w:eastAsia="uk"/>
        </w:rPr>
        <w:t>му суб’єктом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6" w:name="n137"/>
      <w:bookmarkEnd w:id="136"/>
      <w:r>
        <w:rPr>
          <w:lang w:val="uk" w:eastAsia="uk"/>
        </w:rPr>
        <w:t>7. Учасникам дослідження, які залучені до проведення моніторингу, забороняється: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7" w:name="n138"/>
      <w:bookmarkEnd w:id="137"/>
      <w:r>
        <w:rPr>
          <w:lang w:val="uk" w:eastAsia="uk"/>
        </w:rPr>
        <w:t>приносити до місця проведення моніторингу небезпечні предмети і речовини, що становлять загрозу для життя і здоров’я людини;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8" w:name="n139"/>
      <w:bookmarkEnd w:id="138"/>
      <w:r>
        <w:rPr>
          <w:lang w:val="uk" w:eastAsia="uk"/>
        </w:rPr>
        <w:t>заважати іншим учасникам</w:t>
      </w:r>
      <w:r>
        <w:rPr>
          <w:lang w:val="uk" w:eastAsia="uk"/>
        </w:rPr>
        <w:t xml:space="preserve"> дослідження виконувати письмову роботу (завдання);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39" w:name="n140"/>
      <w:bookmarkEnd w:id="139"/>
      <w:r>
        <w:rPr>
          <w:lang w:val="uk" w:eastAsia="uk"/>
        </w:rPr>
        <w:t>спілкуватися в будь-якій формі з іншими учасниками моніторингу протягом часу, відведеного для виконання письмової роботи (завдання), якщо інше не передбачено Програмою;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0" w:name="n141"/>
      <w:bookmarkEnd w:id="140"/>
      <w:r>
        <w:rPr>
          <w:lang w:val="uk" w:eastAsia="uk"/>
        </w:rPr>
        <w:t>псувати майно установи чи організац</w:t>
      </w:r>
      <w:r>
        <w:rPr>
          <w:lang w:val="uk" w:eastAsia="uk"/>
        </w:rPr>
        <w:t>ії, в приміщенні яких проводиться моніторинг, чи майно осіб, які перебувають у цьому приміщенні;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1" w:name="n142"/>
      <w:bookmarkEnd w:id="141"/>
      <w:r>
        <w:rPr>
          <w:lang w:val="uk" w:eastAsia="uk"/>
        </w:rPr>
        <w:t>використовувати в місці проведення моніторингу та мати при собі або на своєму робочому місці протягом часу, відведеного для виконання письмової роботи (завданн</w:t>
      </w:r>
      <w:r>
        <w:rPr>
          <w:lang w:val="uk" w:eastAsia="uk"/>
        </w:rPr>
        <w:t>я), засоби зв’язку, пристрої зчитування, обробки, збереження та відтворення інформації, а також окремі елементи, які можуть бути складовими частинами відповідних технічних засобів чи пристроїв, друковані або рукописні матеріали, інші засоби, предмети, прил</w:t>
      </w:r>
      <w:r>
        <w:rPr>
          <w:lang w:val="uk" w:eastAsia="uk"/>
        </w:rPr>
        <w:t>ади, що не передбачені процедурою проведення моніторингу (крім дозволених виробів медичного призначення, про наявність яких учасник дослідження повинен до початку виконання письмової роботи (завдання) повідомити особі, яка проводить моніторинг);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2" w:name="n143"/>
      <w:bookmarkEnd w:id="142"/>
      <w:r>
        <w:rPr>
          <w:lang w:val="uk" w:eastAsia="uk"/>
        </w:rPr>
        <w:t>виносити з</w:t>
      </w:r>
      <w:r>
        <w:rPr>
          <w:lang w:val="uk" w:eastAsia="uk"/>
        </w:rPr>
        <w:t>а межі місця проведення моніторингу матеріали моніторингу (якщо процедурою моніторингу, визначеною в Програмі, передбачено збереження конфіденційності матеріалів моніторингу);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3" w:name="n144"/>
      <w:bookmarkEnd w:id="143"/>
      <w:proofErr w:type="spellStart"/>
      <w:r>
        <w:rPr>
          <w:lang w:val="uk" w:eastAsia="uk"/>
        </w:rPr>
        <w:t>персоналізовувати</w:t>
      </w:r>
      <w:proofErr w:type="spellEnd"/>
      <w:r>
        <w:rPr>
          <w:lang w:val="uk" w:eastAsia="uk"/>
        </w:rPr>
        <w:t xml:space="preserve"> роботу (крім випадків, коли процедурою моніторингу, визначеною</w:t>
      </w:r>
      <w:r>
        <w:rPr>
          <w:lang w:val="uk" w:eastAsia="uk"/>
        </w:rPr>
        <w:t xml:space="preserve"> в Програмі, передбачено персоніфікацію робіт учасників моніторингу).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4" w:name="n145"/>
      <w:bookmarkEnd w:id="144"/>
      <w:r>
        <w:rPr>
          <w:lang w:val="uk" w:eastAsia="uk"/>
        </w:rPr>
        <w:t xml:space="preserve">8. У разі порушення учасником вимог проведення зовнішнього моніторингу, внаслідок чого може бути поставлено під сумнів надійність результатів моніторингу, учасник може бути не допущений </w:t>
      </w:r>
      <w:r>
        <w:rPr>
          <w:lang w:val="uk" w:eastAsia="uk"/>
        </w:rPr>
        <w:t>до проведення моніторингу або видалений з місця проведення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5" w:name="n146"/>
      <w:bookmarkEnd w:id="145"/>
      <w:r>
        <w:rPr>
          <w:lang w:val="uk" w:eastAsia="uk"/>
        </w:rPr>
        <w:t>Якщо порушення виявлено під час або після проведення моніторингу, роботу учасника може бути виключено з розгляду суб’єктом моніторингу.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146" w:name="n147"/>
      <w:bookmarkEnd w:id="146"/>
      <w:r>
        <w:rPr>
          <w:rStyle w:val="spanrvts15"/>
          <w:lang w:val="uk" w:eastAsia="uk"/>
        </w:rPr>
        <w:lastRenderedPageBreak/>
        <w:t>VI. Результати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7" w:name="n148"/>
      <w:bookmarkEnd w:id="147"/>
      <w:r>
        <w:rPr>
          <w:lang w:val="uk" w:eastAsia="uk"/>
        </w:rPr>
        <w:t>1. Результати монітор</w:t>
      </w:r>
      <w:r>
        <w:rPr>
          <w:lang w:val="uk" w:eastAsia="uk"/>
        </w:rPr>
        <w:t>ингу зазначаються у звіті, який готує суб’єкт моніторингу (відповідно до Програми).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8" w:name="n149"/>
      <w:bookmarkEnd w:id="148"/>
      <w:r>
        <w:rPr>
          <w:lang w:val="uk" w:eastAsia="uk"/>
        </w:rPr>
        <w:t>У звіті обов’язково вказуються індикатори та шкала(и), використана(і) для визначення результатів моніторингу, а також методика, застосована для їх обрахунків.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49" w:name="n150"/>
      <w:bookmarkEnd w:id="149"/>
      <w:r>
        <w:rPr>
          <w:lang w:val="uk" w:eastAsia="uk"/>
        </w:rPr>
        <w:t xml:space="preserve">Звіт може </w:t>
      </w:r>
      <w:r>
        <w:rPr>
          <w:lang w:val="uk" w:eastAsia="uk"/>
        </w:rPr>
        <w:t>містити таблиці, діаграми, графіки та інші форми узагальнення інформації.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0" w:name="n151"/>
      <w:bookmarkEnd w:id="150"/>
      <w:r>
        <w:rPr>
          <w:lang w:val="uk" w:eastAsia="uk"/>
        </w:rPr>
        <w:t>2. Звіт за результатами зовнішнього моніторингу на рівні закладу освіти, місцевому та регіональному рівнях надається ініціатору моніторингу, який оприлюднює його у визначений ним спо</w:t>
      </w:r>
      <w:r>
        <w:rPr>
          <w:lang w:val="uk" w:eastAsia="uk"/>
        </w:rPr>
        <w:t>сіб.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1" w:name="n152"/>
      <w:bookmarkEnd w:id="151"/>
      <w:r>
        <w:rPr>
          <w:lang w:val="uk" w:eastAsia="uk"/>
        </w:rPr>
        <w:t>Звіт за результатами моніторингу на загальнодержавному рівні оприлюднюються на веб-сайтах Міністерства освіти і науки України та суб’єкта моніторингу.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2" w:name="n153"/>
      <w:bookmarkEnd w:id="152"/>
      <w:r>
        <w:rPr>
          <w:lang w:val="uk" w:eastAsia="uk"/>
        </w:rPr>
        <w:t>Зміст, порядок підготовки та оприлюднення звіту за результатами моніторингу на міжнародному рівні ви</w:t>
      </w:r>
      <w:r>
        <w:rPr>
          <w:lang w:val="uk" w:eastAsia="uk"/>
        </w:rPr>
        <w:t>значається міжнародною організацією, яка проводить відповідний моніторинг.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3" w:name="n154"/>
      <w:bookmarkEnd w:id="153"/>
      <w:r>
        <w:rPr>
          <w:lang w:val="uk" w:eastAsia="uk"/>
        </w:rPr>
        <w:t>3. Суб’єкти моніторингу надають закладам освіти, які брали участь у моніторингу, інформацію про його результати, до якої вони забезпечують відкритий доступ на своїх веб-сайтах (у ра</w:t>
      </w:r>
      <w:r>
        <w:rPr>
          <w:lang w:val="uk" w:eastAsia="uk"/>
        </w:rPr>
        <w:t>зі їх відсутності - на веб-сайтах своїх засновників).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4" w:name="n155"/>
      <w:bookmarkEnd w:id="154"/>
      <w:r>
        <w:rPr>
          <w:lang w:val="uk" w:eastAsia="uk"/>
        </w:rPr>
        <w:t>Результати моніторингу можуть передаватися іншим особам або оприлюднюватися ними лише за згодою ініціатора моніторингу.</w:t>
      </w:r>
    </w:p>
    <w:p w:rsidR="00BB67FB" w:rsidRDefault="0094335B">
      <w:pPr>
        <w:pStyle w:val="rvps7"/>
        <w:spacing w:before="150" w:after="150"/>
        <w:ind w:left="450" w:right="450"/>
        <w:rPr>
          <w:lang w:val="uk" w:eastAsia="uk"/>
        </w:rPr>
      </w:pPr>
      <w:bookmarkStart w:id="155" w:name="n156"/>
      <w:bookmarkEnd w:id="155"/>
      <w:r>
        <w:rPr>
          <w:rStyle w:val="spanrvts15"/>
          <w:lang w:val="uk" w:eastAsia="uk"/>
        </w:rPr>
        <w:t>VII. Фінансування моніторингу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6" w:name="n157"/>
      <w:bookmarkEnd w:id="156"/>
      <w:r>
        <w:rPr>
          <w:lang w:val="uk" w:eastAsia="uk"/>
        </w:rPr>
        <w:t>1. Фінансування внутрішнього та зовнішнього монітори</w:t>
      </w:r>
      <w:r>
        <w:rPr>
          <w:lang w:val="uk" w:eastAsia="uk"/>
        </w:rPr>
        <w:t>нгу на рівні закладу освіти здійснюється за рахунок коштів засновника, власних надходжень закладу освіти та/або інших джерел, не заборонених законодавством.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7" w:name="n158"/>
      <w:bookmarkEnd w:id="157"/>
      <w:r>
        <w:rPr>
          <w:lang w:val="uk" w:eastAsia="uk"/>
        </w:rPr>
        <w:t>2. Фінансування зовнішнього моніторингу на місцевому та регіональному рівнях здійснюється за рахуно</w:t>
      </w:r>
      <w:r>
        <w:rPr>
          <w:lang w:val="uk" w:eastAsia="uk"/>
        </w:rPr>
        <w:t>к коштів державного бюджету та/або місцевих бюджетів відповідно до законодавства та/або інших джерел, не заборонених законодавством.</w:t>
      </w:r>
    </w:p>
    <w:p w:rsidR="00BB67FB" w:rsidRDefault="0094335B">
      <w:pPr>
        <w:pStyle w:val="rvps2"/>
        <w:spacing w:after="150"/>
        <w:rPr>
          <w:lang w:val="uk" w:eastAsia="uk"/>
        </w:rPr>
      </w:pPr>
      <w:bookmarkStart w:id="158" w:name="n159"/>
      <w:bookmarkEnd w:id="158"/>
      <w:r>
        <w:rPr>
          <w:lang w:val="uk" w:eastAsia="uk"/>
        </w:rPr>
        <w:t>2. Фінансування зовнішнього моніторингу на загальнодержавному та міжнародному рівнях здійснюється за рахунок коштів державн</w:t>
      </w:r>
      <w:r>
        <w:rPr>
          <w:lang w:val="uk" w:eastAsia="uk"/>
        </w:rPr>
        <w:t>ого бюджету відповідно до законодавства та/або інших джерел, не заборонених законодавством.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69"/>
        <w:gridCol w:w="5620"/>
      </w:tblGrid>
      <w:tr w:rsidR="00BB67FB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4"/>
              <w:spacing w:before="300" w:after="150"/>
              <w:rPr>
                <w:lang w:val="uk" w:eastAsia="uk"/>
              </w:rPr>
            </w:pPr>
            <w:bookmarkStart w:id="159" w:name="n160"/>
            <w:bookmarkEnd w:id="159"/>
            <w:r>
              <w:rPr>
                <w:rStyle w:val="spanrvts44"/>
                <w:lang w:val="uk" w:eastAsia="uk"/>
              </w:rPr>
              <w:t>Генеральний директор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директорату дошкільної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та шкільної освіти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7FB" w:rsidRDefault="0094335B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 xml:space="preserve">А. </w:t>
            </w:r>
            <w:proofErr w:type="spellStart"/>
            <w:r>
              <w:rPr>
                <w:rStyle w:val="spanrvts44"/>
                <w:lang w:val="uk" w:eastAsia="uk"/>
              </w:rPr>
              <w:t>Осмоловський</w:t>
            </w:r>
            <w:proofErr w:type="spellEnd"/>
          </w:p>
        </w:tc>
      </w:tr>
    </w:tbl>
    <w:p w:rsidR="00BB67FB" w:rsidRDefault="00BB67FB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729"/>
        <w:gridCol w:w="2475"/>
      </w:tblGrid>
      <w:tr w:rsidR="00BB67FB" w:rsidRPr="0094335B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67FB" w:rsidRDefault="0094335B">
            <w:pPr>
              <w:jc w:val="center"/>
              <w:rPr>
                <w:lang w:val="uk" w:eastAsia="uk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67FB" w:rsidRDefault="0094335B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затвердження Порядку проведення моніторингу якості освіти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 xml:space="preserve">Наказ; МОН </w:t>
            </w:r>
            <w:r>
              <w:rPr>
                <w:sz w:val="20"/>
                <w:szCs w:val="20"/>
                <w:lang w:val="uk" w:eastAsia="uk"/>
              </w:rPr>
              <w:t>України від 16.01.2020 № 54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16.01.2020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https://zakon.rada.gov.ua/go/z0154-20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67FB" w:rsidRDefault="0094335B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15.11.2025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55218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7FB" w:rsidRPr="0094335B" w:rsidRDefault="00BB67FB" w:rsidP="0094335B">
      <w:pPr>
        <w:rPr>
          <w:lang w:val="uk-UA" w:eastAsia="uk"/>
        </w:rPr>
      </w:pPr>
      <w:bookmarkStart w:id="160" w:name="_GoBack"/>
      <w:bookmarkEnd w:id="160"/>
    </w:p>
    <w:sectPr w:rsidR="00BB67FB" w:rsidRPr="0094335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76E49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70D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16A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4E2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ACB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7845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3047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F0C0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DC4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FB"/>
    <w:rsid w:val="0094335B"/>
    <w:rsid w:val="00B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9433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9433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14-%D0%BF" TargetMode="External"/><Relationship Id="rId13" Type="http://schemas.openxmlformats.org/officeDocument/2006/relationships/hyperlink" Target="https://zakon.rada.gov.ua/laws/show/2628-1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651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841-14" TargetMode="External"/><Relationship Id="rId10" Type="http://schemas.openxmlformats.org/officeDocument/2006/relationships/hyperlink" Target="https://zakon.rada.gov.ua/laws/show/2628-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проведення моніторингу якості освіти | від 16.01.2020 № 54</vt:lpstr>
    </vt:vector>
  </TitlesOfParts>
  <Company>SPecialiST RePack</Company>
  <LinksUpToDate>false</LinksUpToDate>
  <CharactersWithSpaces>20516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проведення моніторингу якості освіти | від 16.01.2020 № 54</dc:title>
  <dc:creator>HP</dc:creator>
  <cp:lastModifiedBy>Lenovo</cp:lastModifiedBy>
  <cp:revision>2</cp:revision>
  <dcterms:created xsi:type="dcterms:W3CDTF">2025-11-15T11:27:00Z</dcterms:created>
  <dcterms:modified xsi:type="dcterms:W3CDTF">2025-11-15T11:27:00Z</dcterms:modified>
</cp:coreProperties>
</file>